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黑体" w:eastAsia="仿宋_GB2312"/>
          <w:b/>
          <w:sz w:val="36"/>
          <w:szCs w:val="36"/>
        </w:rPr>
      </w:pPr>
      <w:r>
        <w:rPr>
          <w:rFonts w:hint="eastAsia" w:ascii="仿宋_GB2312" w:hAnsi="黑体" w:eastAsia="仿宋_GB2312"/>
          <w:b/>
          <w:sz w:val="36"/>
          <w:szCs w:val="36"/>
        </w:rPr>
        <w:t>附件1：         闽江学院2017年科研项目公示（社科项目）</w:t>
      </w:r>
    </w:p>
    <w:tbl>
      <w:tblPr>
        <w:tblStyle w:val="7"/>
        <w:tblW w:w="11828" w:type="dxa"/>
        <w:tblInd w:w="93" w:type="dxa"/>
        <w:tblLayout w:type="fixed"/>
        <w:tblCellMar>
          <w:top w:w="0" w:type="dxa"/>
          <w:left w:w="108" w:type="dxa"/>
          <w:bottom w:w="0" w:type="dxa"/>
          <w:right w:w="108" w:type="dxa"/>
        </w:tblCellMar>
      </w:tblPr>
      <w:tblGrid>
        <w:gridCol w:w="1568"/>
        <w:gridCol w:w="5760"/>
        <w:gridCol w:w="1440"/>
        <w:gridCol w:w="1440"/>
        <w:gridCol w:w="1620"/>
      </w:tblGrid>
      <w:tr>
        <w:tblPrEx>
          <w:tblLayout w:type="fixed"/>
          <w:tblCellMar>
            <w:top w:w="0" w:type="dxa"/>
            <w:left w:w="108" w:type="dxa"/>
            <w:bottom w:w="0" w:type="dxa"/>
            <w:right w:w="108" w:type="dxa"/>
          </w:tblCellMar>
        </w:tblPrEx>
        <w:trPr>
          <w:trHeight w:val="618" w:hRule="atLeast"/>
        </w:trPr>
        <w:tc>
          <w:tcPr>
            <w:tcW w:w="1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项目编号</w:t>
            </w:r>
          </w:p>
        </w:tc>
        <w:tc>
          <w:tcPr>
            <w:tcW w:w="5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项目负责人</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项目类别</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4"/>
              </w:rPr>
            </w:pPr>
            <w:r>
              <w:rPr>
                <w:rFonts w:hint="eastAsia" w:ascii="宋体" w:hAnsi="宋体" w:cs="宋体"/>
                <w:b/>
                <w:kern w:val="0"/>
                <w:sz w:val="24"/>
              </w:rPr>
              <w:t>备 注</w:t>
            </w:r>
          </w:p>
        </w:tc>
      </w:tr>
      <w:tr>
        <w:tblPrEx>
          <w:tblLayout w:type="fixed"/>
          <w:tblCellMar>
            <w:top w:w="0" w:type="dxa"/>
            <w:left w:w="108" w:type="dxa"/>
            <w:bottom w:w="0" w:type="dxa"/>
            <w:right w:w="108" w:type="dxa"/>
          </w:tblCellMar>
        </w:tblPrEx>
        <w:trPr>
          <w:trHeight w:val="311" w:hRule="atLeast"/>
        </w:trPr>
        <w:tc>
          <w:tcPr>
            <w:tcW w:w="15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p>
        </w:tc>
        <w:tc>
          <w:tcPr>
            <w:tcW w:w="57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58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MYS17001</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20</w:t>
            </w:r>
            <w:r>
              <w:rPr>
                <w:rFonts w:hint="eastAsia" w:ascii="宋体" w:hAnsi="宋体" w:cs="宋体"/>
                <w:kern w:val="0"/>
                <w:sz w:val="24"/>
              </w:rPr>
              <w:t>世纪</w:t>
            </w:r>
            <w:r>
              <w:rPr>
                <w:rFonts w:ascii="宋体" w:hAnsi="宋体" w:cs="宋体"/>
                <w:kern w:val="0"/>
                <w:sz w:val="24"/>
              </w:rPr>
              <w:t>90</w:t>
            </w:r>
            <w:r>
              <w:rPr>
                <w:rFonts w:hint="eastAsia" w:ascii="宋体" w:hAnsi="宋体" w:cs="宋体"/>
                <w:kern w:val="0"/>
                <w:sz w:val="24"/>
              </w:rPr>
              <w:t>年代以来中国文论“本土”新范畴研究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练暑生</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40"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MYS17002</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艺术人类学视角下的台湾少数民族服饰活态传承研究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徐 强</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8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MYS17003</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古代中国音乐典籍在朝鲜半岛传播与影响研究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吴明微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60"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MYS17004</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流程再造与服务创新：台湾地区档案典藏机构文创转型研究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王念祖</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60"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MYS17005</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移动互联网传播对农产品品牌建设的影响研究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戴 程</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60"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MYS17006</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经济增长的“自贸区驱动”效应：模型、实证和策略研究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林斐婷</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5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MYS17007</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“新常态”下我国县域普惠金融发展指标体系及评价研究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耿庆峰</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65" w:hRule="atLeast"/>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MYS17008</w:t>
            </w:r>
          </w:p>
        </w:tc>
        <w:tc>
          <w:tcPr>
            <w:tcW w:w="5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社会网络视角下的农村电子商务研究</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祝秀梅</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30"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MYS17009</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海上丝绸之路战略视角下华侨农场资源整合研究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陈成栋</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1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MYS17010</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温泉旅游产业与地方经济联动发展研究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林爱平</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MYS17011</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战略生态位管理视角下的“淘宝村”发展研究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李 煊</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MYS17012</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基于大数据的主动医疗知识共享与创新绩效的理论研究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唐锦铨</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MYS17013</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康德与后现代批判美学构建研究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陈开晟</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MYS17014</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用户认知和情感体验在造型设计中的应用研究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吕 佳</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MYS17015</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林纾文学批评理论的资料整理与研究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张胜璋</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MYS17016</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文化堕距视角下农村电商扶贫的非正式制度作用机理及脱贫效应研究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陈 颐</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MYS17017</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城镇化对碳排放的调节效应及其区域差异研究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郑大川</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MYS17018</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跨境电子商务、税基侵蚀和利润转移应对研究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尹利军</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MYS17019</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转移支付与限制禁止类开发区财政利益补偿机制研究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邱 强</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MYS17020</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贸易开放、技能回报与劳动力流动自选择问题研究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林 文</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ind w:firstLine="120" w:firstLineChars="50"/>
              <w:jc w:val="center"/>
            </w:pPr>
            <w:r>
              <w:rPr>
                <w:rFonts w:hint="eastAsia" w:ascii="宋体" w:hAnsi="宋体" w:cs="宋体"/>
                <w:kern w:val="0"/>
                <w:sz w:val="24"/>
              </w:rPr>
              <w:t>MYS17021</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共享经济下创新生态系统构建的困境与破解路径研究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吴晓园</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宋体" w:hAnsi="宋体" w:cs="宋体"/>
                <w:kern w:val="0"/>
                <w:sz w:val="24"/>
              </w:rPr>
              <w:t>MYS17022</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基于贫困户视角的农村电商扶贫模式选择与绩效研究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杨小山</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MYS17023</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民间武术家在传承“中华优秀传统文化中的视角、作用研究”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侯胜川</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MYS17024</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地方高校体育政策执行阻滞问题的实证研究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徐瑞芳</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MYS17025</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公共性：破解公共服务型政府建设难题的马克思主义密钥</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王同新</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MYS17026</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生态文明视阈下城镇化建设机制研究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刘宜君</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MYS17027</w:t>
            </w:r>
          </w:p>
        </w:tc>
        <w:tc>
          <w:tcPr>
            <w:tcW w:w="576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24"/>
              </w:rPr>
            </w:pPr>
            <w:r>
              <w:rPr>
                <w:rFonts w:hint="eastAsia" w:ascii="宋体" w:hAnsi="宋体" w:cs="宋体"/>
                <w:kern w:val="0"/>
                <w:sz w:val="24"/>
              </w:rPr>
              <w:t>面向多主体参与的高校毕业设计（论文）新型协同平台研究</w:t>
            </w:r>
          </w:p>
        </w:tc>
        <w:tc>
          <w:tcPr>
            <w:tcW w:w="14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kern w:val="0"/>
                <w:sz w:val="24"/>
              </w:rPr>
            </w:pPr>
            <w:r>
              <w:rPr>
                <w:rFonts w:hint="eastAsia" w:ascii="宋体" w:hAnsi="宋体" w:cs="宋体"/>
                <w:kern w:val="0"/>
                <w:sz w:val="24"/>
              </w:rPr>
              <w:t>林文如</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MYS17028</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中国国家形象片的多模态话语分析研究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王小梅</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MYS17029</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海丝文化起点旅游区构建研究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吴金林</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MYS17030</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生态美学视域下的中国现代游记研究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陈邑华</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MYS17031</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“一带一路”视角下福建“五女”服饰非物质文化遗产的传承创新研究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陈 栩</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MYS17032</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绿色文化视野下基于利用废弃物进行服装装置艺术创作的研究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庄长达</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MYS17033</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精准扶贫闽北古村落：发展旅游业与城镇化建设研究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蔡贤恩</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MYS17034</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基于文本分析的上市公司信息披露行为研究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林 卉</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MYS17035</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我国保险业系统性风险测度及传染性研究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吴祥佑</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MYS17036</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后TRIPs时代知识产权滥用的国际法规制研究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陈小云</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MYS17037</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全面二孩时代城市失弱群体公共文化服务强化供给机制研究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郑小玲</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MYS17038</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传播学视野下手机媒体信息安全保护研究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王燕星</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MYS17039</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习近平在闽期间教育思想体系及特征研究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张庆守</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MYS17040</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我国体育类上市公司现金流风险与价值管理研究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雷 雯</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MYS17041</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“互联网+”时代服装品牌竞争力提升途径研究——以福建男装品牌为例</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于小利</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MYS17042</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大数据视阈下农村文化产业发展战略研究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陈 欢</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MYS17043</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天后圣迹图的审美表现及其精神内涵</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柯立红</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705" w:hRule="atLeast"/>
        </w:trPr>
        <w:tc>
          <w:tcPr>
            <w:tcW w:w="1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MYS17044</w:t>
            </w:r>
          </w:p>
        </w:tc>
        <w:tc>
          <w:tcPr>
            <w:tcW w:w="57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新建本科院校辅导员职业发展研究</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田军鹏</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一般项目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43370"/>
    <w:rsid w:val="6AE433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link w:val="5"/>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 Char Char Char Char"/>
    <w:basedOn w:val="1"/>
    <w:link w:val="4"/>
    <w:qFormat/>
    <w:uiPriority w:val="0"/>
  </w:style>
  <w:style w:type="character" w:styleId="6">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2017-11-15T08:01:00Z</dcterms:created>
  <dc:creator>Xanto</dc:creator>
  <cp:lastModifiedBy>Xanto</cp:lastModifiedBy>
  <dcterms:modified xsi:type="dcterms:W3CDTF">2017-11-15T08:01:34Z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